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CA" w:rsidRPr="001B7ED2" w:rsidRDefault="00D563CA" w:rsidP="008F5C1B">
      <w:pPr>
        <w:spacing w:line="480" w:lineRule="auto"/>
        <w:ind w:left="-1134"/>
        <w:rPr>
          <w:rFonts w:ascii="Leelawadee UI" w:eastAsia="Calibri" w:hAnsi="Leelawadee UI" w:cs="Leelawadee UI"/>
          <w:b/>
          <w:color w:val="000000"/>
          <w:w w:val="90"/>
        </w:rPr>
      </w:pPr>
      <w:bookmarkStart w:id="0" w:name="_Hlk39260696"/>
      <w:r w:rsidRPr="001B7ED2">
        <w:rPr>
          <w:rFonts w:ascii="Leelawadee UI" w:eastAsia="Calibri" w:hAnsi="Leelawadee UI" w:cs="Leelawadee UI"/>
          <w:b/>
          <w:color w:val="000000"/>
          <w:w w:val="90"/>
        </w:rPr>
        <w:t>A</w:t>
      </w:r>
      <w:r w:rsidR="008F5C1B" w:rsidRPr="001B7ED2">
        <w:rPr>
          <w:rFonts w:ascii="Leelawadee UI" w:eastAsia="Calibri" w:hAnsi="Leelawadee UI" w:cs="Leelawadee UI"/>
          <w:b/>
          <w:color w:val="000000"/>
          <w:w w:val="90"/>
        </w:rPr>
        <w:t>nexos</w:t>
      </w:r>
    </w:p>
    <w:tbl>
      <w:tblPr>
        <w:tblStyle w:val="Tablaconcuadrcula1"/>
        <w:tblpPr w:leftFromText="141" w:rightFromText="141" w:vertAnchor="text" w:horzAnchor="margin" w:tblpXSpec="center" w:tblpY="987"/>
        <w:tblOverlap w:val="never"/>
        <w:tblW w:w="11577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64"/>
        <w:gridCol w:w="103"/>
        <w:gridCol w:w="525"/>
        <w:gridCol w:w="632"/>
        <w:gridCol w:w="629"/>
        <w:gridCol w:w="786"/>
        <w:gridCol w:w="645"/>
        <w:gridCol w:w="728"/>
        <w:gridCol w:w="835"/>
        <w:gridCol w:w="629"/>
        <w:gridCol w:w="629"/>
        <w:gridCol w:w="635"/>
        <w:gridCol w:w="788"/>
        <w:gridCol w:w="848"/>
        <w:gridCol w:w="7"/>
      </w:tblGrid>
      <w:tr w:rsidR="00D563CA" w:rsidRPr="001B7ED2" w:rsidTr="008F5C1B">
        <w:trPr>
          <w:trHeight w:val="83"/>
        </w:trPr>
        <w:tc>
          <w:tcPr>
            <w:tcW w:w="2127" w:type="dxa"/>
            <w:vMerge w:val="restart"/>
            <w:tcBorders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hAnsi="Leelawadee UI" w:cs="Leelawadee UI"/>
                <w:b/>
                <w:sz w:val="20"/>
                <w:szCs w:val="20"/>
              </w:rPr>
            </w:pPr>
          </w:p>
          <w:p w:rsidR="00D563CA" w:rsidRPr="001B7ED2" w:rsidRDefault="00D563CA" w:rsidP="00D563CA">
            <w:pPr>
              <w:jc w:val="center"/>
              <w:rPr>
                <w:rFonts w:ascii="Leelawadee UI" w:hAnsi="Leelawadee UI" w:cs="Leelawadee UI"/>
                <w:b/>
                <w:sz w:val="20"/>
                <w:szCs w:val="20"/>
              </w:rPr>
            </w:pPr>
          </w:p>
          <w:p w:rsidR="00D563CA" w:rsidRPr="001B7ED2" w:rsidRDefault="00D563CA" w:rsidP="00D563CA">
            <w:pPr>
              <w:jc w:val="center"/>
              <w:rPr>
                <w:rFonts w:ascii="Leelawadee UI" w:hAnsi="Leelawadee UI" w:cs="Leelawadee UI"/>
                <w:b/>
                <w:sz w:val="20"/>
                <w:szCs w:val="20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Especie</w:t>
            </w:r>
          </w:p>
        </w:tc>
        <w:tc>
          <w:tcPr>
            <w:tcW w:w="7807" w:type="dxa"/>
            <w:gridSpan w:val="13"/>
            <w:tcBorders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color w:val="000000"/>
                <w:w w:val="90"/>
              </w:rPr>
            </w:pPr>
            <w:r w:rsidRPr="001B7ED2">
              <w:rPr>
                <w:rFonts w:ascii="Leelawadee UI" w:eastAsia="Calibri" w:hAnsi="Leelawadee UI" w:cs="Leelawadee UI"/>
                <w:b/>
                <w:color w:val="000000"/>
                <w:w w:val="90"/>
              </w:rPr>
              <w:t>Jagüeyes por usos de sus zonas de recarga</w:t>
            </w:r>
          </w:p>
        </w:tc>
        <w:tc>
          <w:tcPr>
            <w:tcW w:w="78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color w:val="000000"/>
                <w:w w:val="90"/>
              </w:rPr>
            </w:pPr>
            <w:r w:rsidRPr="001B7ED2">
              <w:rPr>
                <w:rFonts w:ascii="Leelawadee UI" w:eastAsia="Calibri" w:hAnsi="Leelawadee UI" w:cs="Leelawadee UI"/>
                <w:b/>
                <w:color w:val="000000"/>
                <w:w w:val="90"/>
              </w:rPr>
              <w:t xml:space="preserve"># </w:t>
            </w:r>
            <w:proofErr w:type="spellStart"/>
            <w:r w:rsidRPr="001B7ED2">
              <w:rPr>
                <w:rFonts w:ascii="Leelawadee UI" w:eastAsia="Calibri" w:hAnsi="Leelawadee UI" w:cs="Leelawadee UI"/>
                <w:b/>
                <w:color w:val="000000"/>
                <w:w w:val="90"/>
              </w:rPr>
              <w:t>ind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color w:val="000000"/>
                <w:w w:val="90"/>
              </w:rPr>
            </w:pPr>
            <w:r w:rsidRPr="001B7ED2">
              <w:rPr>
                <w:rFonts w:ascii="Leelawadee UI" w:eastAsia="Calibri" w:hAnsi="Leelawadee UI" w:cs="Leelawadee UI"/>
                <w:b/>
                <w:color w:val="000000"/>
                <w:w w:val="90"/>
              </w:rPr>
              <w:t>%</w:t>
            </w:r>
          </w:p>
        </w:tc>
      </w:tr>
      <w:tr w:rsidR="00D563CA" w:rsidRPr="001B7ED2" w:rsidTr="008F5C1B">
        <w:trPr>
          <w:trHeight w:val="7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Agricultura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Ganadería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Urbanístico</w:t>
            </w: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563CA" w:rsidRPr="001B7ED2" w:rsidTr="008F5C1B">
        <w:trPr>
          <w:gridAfter w:val="1"/>
          <w:wAfter w:w="7" w:type="dxa"/>
          <w:trHeight w:val="84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563CA" w:rsidRPr="001B7ED2" w:rsidTr="008F5C1B">
        <w:trPr>
          <w:gridAfter w:val="1"/>
          <w:wAfter w:w="7" w:type="dxa"/>
          <w:trHeight w:val="343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Hoplias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malabaricus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1,51</w:t>
            </w:r>
          </w:p>
        </w:tc>
      </w:tr>
      <w:tr w:rsidR="00D563CA" w:rsidRPr="001B7ED2" w:rsidTr="008F5C1B">
        <w:trPr>
          <w:gridAfter w:val="1"/>
          <w:wAfter w:w="7" w:type="dxa"/>
          <w:trHeight w:val="27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Curimata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magdalenae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0,05</w:t>
            </w:r>
          </w:p>
        </w:tc>
      </w:tr>
      <w:tr w:rsidR="00D563CA" w:rsidRPr="001B7ED2" w:rsidTr="008F5C1B">
        <w:trPr>
          <w:gridAfter w:val="1"/>
          <w:wAfter w:w="7" w:type="dxa"/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Astyanax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fasciatus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1279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2815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49,43</w:t>
            </w:r>
          </w:p>
        </w:tc>
      </w:tr>
      <w:tr w:rsidR="00D563CA" w:rsidRPr="001B7ED2" w:rsidTr="008F5C1B">
        <w:trPr>
          <w:gridAfter w:val="1"/>
          <w:wAfter w:w="7" w:type="dxa"/>
          <w:trHeight w:val="2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Piaractusbrachypomus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0,09</w:t>
            </w:r>
          </w:p>
        </w:tc>
      </w:tr>
      <w:tr w:rsidR="00D563CA" w:rsidRPr="001B7ED2" w:rsidTr="008F5C1B">
        <w:trPr>
          <w:gridAfter w:val="1"/>
          <w:wAfter w:w="7" w:type="dxa"/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Roeboides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dayii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19,33</w:t>
            </w:r>
          </w:p>
        </w:tc>
      </w:tr>
      <w:tr w:rsidR="00D563CA" w:rsidRPr="001B7ED2" w:rsidTr="008F5C1B">
        <w:trPr>
          <w:gridAfter w:val="1"/>
          <w:wAfter w:w="7" w:type="dxa"/>
          <w:trHeight w:val="1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Prochilodus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magdalenae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0,32</w:t>
            </w:r>
          </w:p>
        </w:tc>
      </w:tr>
      <w:tr w:rsidR="00D563CA" w:rsidRPr="001B7ED2" w:rsidTr="008F5C1B">
        <w:trPr>
          <w:gridAfter w:val="1"/>
          <w:wAfter w:w="7" w:type="dxa"/>
          <w:trHeight w:val="56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Hoplosternum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thoracatum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0,09</w:t>
            </w:r>
          </w:p>
        </w:tc>
      </w:tr>
      <w:tr w:rsidR="00D563CA" w:rsidRPr="001B7ED2" w:rsidTr="008F5C1B">
        <w:trPr>
          <w:gridAfter w:val="1"/>
          <w:wAfter w:w="7" w:type="dxa"/>
          <w:trHeight w:val="34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Hemiancistrus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wilsoni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0,09</w:t>
            </w:r>
          </w:p>
        </w:tc>
      </w:tr>
      <w:tr w:rsidR="00D563CA" w:rsidRPr="001B7ED2" w:rsidTr="008F5C1B">
        <w:trPr>
          <w:gridAfter w:val="1"/>
          <w:wAfter w:w="7" w:type="dxa"/>
          <w:trHeight w:val="2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Caquetaia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kraussii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1,18</w:t>
            </w:r>
          </w:p>
        </w:tc>
      </w:tr>
      <w:tr w:rsidR="00D563CA" w:rsidRPr="001B7ED2" w:rsidTr="008F5C1B">
        <w:trPr>
          <w:gridAfter w:val="1"/>
          <w:wAfter w:w="7" w:type="dxa"/>
          <w:trHeight w:val="2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Oreochromis </w:t>
            </w: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spp.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0,33</w:t>
            </w:r>
          </w:p>
        </w:tc>
      </w:tr>
      <w:tr w:rsidR="00D563CA" w:rsidRPr="001B7ED2" w:rsidTr="008F5C1B">
        <w:trPr>
          <w:gridAfter w:val="1"/>
          <w:wAfter w:w="7" w:type="dxa"/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ind w:right="-34"/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Andinoacara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latifrons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26</w:t>
            </w:r>
          </w:p>
          <w:p w:rsidR="00D563CA" w:rsidRPr="001B7ED2" w:rsidRDefault="00D563CA" w:rsidP="008F5C1B">
            <w:pPr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1464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25,70</w:t>
            </w:r>
          </w:p>
        </w:tc>
      </w:tr>
      <w:tr w:rsidR="00D563CA" w:rsidRPr="001B7ED2" w:rsidTr="008F5C1B">
        <w:trPr>
          <w:gridAfter w:val="1"/>
          <w:wAfter w:w="7" w:type="dxa"/>
          <w:trHeight w:val="14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Poecilia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caucana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1,79</w:t>
            </w:r>
          </w:p>
        </w:tc>
      </w:tr>
      <w:tr w:rsidR="00D563CA" w:rsidRPr="001B7ED2" w:rsidTr="008F5C1B">
        <w:trPr>
          <w:gridAfter w:val="1"/>
          <w:wAfter w:w="7" w:type="dxa"/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Synbranchus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i/>
                <w:color w:val="000000"/>
                <w:w w:val="90"/>
                <w:sz w:val="20"/>
                <w:szCs w:val="20"/>
                <w:lang w:val="en-US"/>
              </w:rPr>
              <w:t>marmoratus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0,09</w:t>
            </w:r>
          </w:p>
        </w:tc>
      </w:tr>
      <w:tr w:rsidR="00D563CA" w:rsidRPr="001B7ED2" w:rsidTr="008F5C1B">
        <w:trPr>
          <w:gridAfter w:val="1"/>
          <w:wAfter w:w="7" w:type="dxa"/>
          <w:trHeight w:val="556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abundancia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1557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2368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F5C1B" w:rsidRPr="001B7ED2" w:rsidRDefault="008F5C1B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10"/>
                <w:szCs w:val="10"/>
                <w:lang w:val="en-US"/>
              </w:rPr>
            </w:pPr>
          </w:p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5695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100</w:t>
            </w:r>
          </w:p>
        </w:tc>
      </w:tr>
      <w:tr w:rsidR="008F5C1B" w:rsidRPr="001B7ED2" w:rsidTr="008F5C1B">
        <w:trPr>
          <w:trHeight w:val="6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931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2252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2512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563CA" w:rsidRPr="001B7ED2" w:rsidTr="008F5C1B">
        <w:trPr>
          <w:gridAfter w:val="1"/>
          <w:wAfter w:w="7" w:type="dxa"/>
          <w:trHeight w:val="83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3CA" w:rsidRPr="001B7ED2" w:rsidRDefault="00D563CA" w:rsidP="00D563CA">
            <w:pPr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Riqueza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8F5C1B" w:rsidRPr="001B7ED2" w:rsidTr="008F5C1B">
        <w:trPr>
          <w:trHeight w:val="97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right w:val="nil"/>
            </w:tcBorders>
          </w:tcPr>
          <w:p w:rsidR="00D563CA" w:rsidRPr="001B7ED2" w:rsidRDefault="00D563CA" w:rsidP="00D563CA">
            <w:pPr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</w:tbl>
    <w:p w:rsidR="00D563CA" w:rsidRPr="001B7ED2" w:rsidRDefault="00D563CA" w:rsidP="00D223E9">
      <w:pPr>
        <w:spacing w:line="240" w:lineRule="auto"/>
        <w:ind w:left="-1134" w:right="-943"/>
        <w:jc w:val="both"/>
        <w:rPr>
          <w:rFonts w:ascii="Leelawadee UI" w:hAnsi="Leelawadee UI" w:cs="Leelawadee UI"/>
          <w:sz w:val="18"/>
          <w:szCs w:val="18"/>
        </w:rPr>
      </w:pPr>
      <w:r w:rsidRPr="001B7ED2">
        <w:rPr>
          <w:rFonts w:ascii="Leelawadee UI" w:eastAsia="Calibri" w:hAnsi="Leelawadee UI" w:cs="Leelawadee UI"/>
          <w:color w:val="000000"/>
          <w:w w:val="90"/>
          <w:sz w:val="18"/>
          <w:szCs w:val="18"/>
        </w:rPr>
        <w:t xml:space="preserve">Anexo 1. Riqueza de especies </w:t>
      </w:r>
      <w:proofErr w:type="gramStart"/>
      <w:r w:rsidRPr="001B7ED2">
        <w:rPr>
          <w:rFonts w:ascii="Leelawadee UI" w:eastAsia="Calibri" w:hAnsi="Leelawadee UI" w:cs="Leelawadee UI"/>
          <w:color w:val="000000"/>
          <w:w w:val="90"/>
          <w:sz w:val="18"/>
          <w:szCs w:val="18"/>
        </w:rPr>
        <w:t>de  peces</w:t>
      </w:r>
      <w:proofErr w:type="gramEnd"/>
      <w:r w:rsidRPr="001B7ED2">
        <w:rPr>
          <w:rFonts w:ascii="Leelawadee UI" w:eastAsia="Calibri" w:hAnsi="Leelawadee UI" w:cs="Leelawadee UI"/>
          <w:color w:val="000000"/>
          <w:w w:val="90"/>
          <w:sz w:val="18"/>
          <w:szCs w:val="18"/>
        </w:rPr>
        <w:t xml:space="preserve"> registrados por jagüeyes y por uso del suelo en la zona de captación de los jagüeyes muestreados entre los meses de enero a agosto del 2017 en los municipios de Magangué (Bolívar) y Los Palmitos, (Sucre), Colombia</w:t>
      </w:r>
      <w:r w:rsidRPr="001B7ED2">
        <w:rPr>
          <w:rFonts w:ascii="Leelawadee UI" w:hAnsi="Leelawadee UI" w:cs="Leelawadee UI"/>
          <w:sz w:val="18"/>
          <w:szCs w:val="18"/>
        </w:rPr>
        <w:t>.</w:t>
      </w:r>
    </w:p>
    <w:p w:rsidR="008F5C1B" w:rsidRPr="001B7ED2" w:rsidRDefault="008F5C1B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8F5C1B" w:rsidRDefault="008F5C1B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P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8F5C1B" w:rsidRDefault="008F5C1B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1B7ED2" w:rsidRPr="001B7ED2" w:rsidRDefault="001B7ED2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p w:rsidR="008F5C1B" w:rsidRPr="001B7ED2" w:rsidRDefault="008F5C1B" w:rsidP="00D223E9">
      <w:pPr>
        <w:spacing w:line="240" w:lineRule="auto"/>
        <w:ind w:left="-1134" w:right="-943"/>
        <w:jc w:val="both"/>
        <w:rPr>
          <w:rFonts w:ascii="Leelawadee UI" w:eastAsia="Calibri" w:hAnsi="Leelawadee UI" w:cs="Leelawadee UI"/>
          <w:color w:val="000000"/>
          <w:w w:val="90"/>
          <w:sz w:val="18"/>
          <w:szCs w:val="18"/>
        </w:rPr>
      </w:pPr>
      <w:r w:rsidRPr="001B7ED2">
        <w:rPr>
          <w:rFonts w:ascii="Leelawadee UI" w:eastAsia="Calibri" w:hAnsi="Leelawadee UI" w:cs="Leelawadee UI"/>
          <w:color w:val="000000"/>
          <w:w w:val="90"/>
          <w:sz w:val="18"/>
          <w:szCs w:val="18"/>
        </w:rPr>
        <w:lastRenderedPageBreak/>
        <w:t xml:space="preserve">Anexo 2. Similitud y complementariedad de las especies ìcticas compartidas entre pares de jagûeyes por uso en las tres zonas de captación (agricultura, ganadería y urbanístico), muestreados en los municipios de Magangué (Bolívar) y Los Palmitos (Sucre), Colombia. </w:t>
      </w:r>
    </w:p>
    <w:tbl>
      <w:tblPr>
        <w:tblW w:w="11244" w:type="dxa"/>
        <w:jc w:val="center"/>
        <w:tblBorders>
          <w:top w:val="single" w:sz="4" w:space="0" w:color="auto"/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1130"/>
        <w:gridCol w:w="1128"/>
        <w:gridCol w:w="1128"/>
        <w:gridCol w:w="1321"/>
        <w:gridCol w:w="1321"/>
        <w:gridCol w:w="1334"/>
      </w:tblGrid>
      <w:tr w:rsidR="008F5C1B" w:rsidRPr="001B7ED2" w:rsidTr="00D223E9">
        <w:trPr>
          <w:trHeight w:val="399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8F5C1B" w:rsidRPr="001B7ED2" w:rsidRDefault="008F5C1B" w:rsidP="008F5C1B">
            <w:pPr>
              <w:spacing w:after="0" w:line="240" w:lineRule="auto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</w:rPr>
              <w:t>Zonas de captación de Jagüeyes</w:t>
            </w:r>
          </w:p>
        </w:tc>
        <w:tc>
          <w:tcPr>
            <w:tcW w:w="736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F5C1B" w:rsidRPr="001B7ED2" w:rsidRDefault="008F5C1B" w:rsidP="008F5C1B">
            <w:pPr>
              <w:spacing w:after="0" w:line="240" w:lineRule="auto"/>
              <w:jc w:val="center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Jagüeyes</w:t>
            </w:r>
            <w:proofErr w:type="spellEnd"/>
          </w:p>
        </w:tc>
      </w:tr>
      <w:tr w:rsidR="00D223E9" w:rsidRPr="001B7ED2" w:rsidTr="00D223E9">
        <w:trPr>
          <w:trHeight w:val="185"/>
          <w:jc w:val="center"/>
        </w:trPr>
        <w:tc>
          <w:tcPr>
            <w:tcW w:w="38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J1-J2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J1-J3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J1-J4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J2-J3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J2-J4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J3-J4</w:t>
            </w:r>
          </w:p>
        </w:tc>
      </w:tr>
      <w:tr w:rsidR="00D223E9" w:rsidRPr="001B7ED2" w:rsidTr="00D223E9">
        <w:trPr>
          <w:trHeight w:val="185"/>
          <w:jc w:val="center"/>
        </w:trPr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Agricultura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223E9" w:rsidRPr="001B7ED2" w:rsidTr="00D223E9">
        <w:trPr>
          <w:trHeight w:val="264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Número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especies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compartidas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</w:tr>
      <w:tr w:rsidR="00D223E9" w:rsidRPr="001B7ED2" w:rsidTr="00D223E9">
        <w:trPr>
          <w:trHeight w:val="354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  <w:t>Número de especies total entre pares de hábitat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Similitud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33</w:t>
            </w:r>
          </w:p>
        </w:tc>
      </w:tr>
      <w:tr w:rsidR="00D223E9" w:rsidRPr="001B7ED2" w:rsidTr="00D223E9">
        <w:trPr>
          <w:trHeight w:val="345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entre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hábitats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Únicas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67</w:t>
            </w:r>
          </w:p>
        </w:tc>
      </w:tr>
      <w:tr w:rsidR="00D223E9" w:rsidRPr="001B7ED2" w:rsidTr="00D223E9">
        <w:trPr>
          <w:trHeight w:val="85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Ganadería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223E9" w:rsidRPr="001B7ED2" w:rsidTr="00D223E9">
        <w:trPr>
          <w:trHeight w:val="256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Número de especies compartidas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</w:tr>
      <w:tr w:rsidR="00D223E9" w:rsidRPr="001B7ED2" w:rsidTr="00D223E9">
        <w:trPr>
          <w:trHeight w:val="363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  <w:t>Número de especies total entre pares de hábitat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Similitud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75</w:t>
            </w:r>
          </w:p>
        </w:tc>
      </w:tr>
      <w:tr w:rsidR="00D223E9" w:rsidRPr="001B7ED2" w:rsidTr="00D223E9">
        <w:trPr>
          <w:trHeight w:val="354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entre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hábitats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Únicas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25</w:t>
            </w:r>
          </w:p>
        </w:tc>
      </w:tr>
      <w:tr w:rsidR="00D223E9" w:rsidRPr="001B7ED2" w:rsidTr="00D223E9">
        <w:trPr>
          <w:trHeight w:val="185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/>
                <w:bCs/>
                <w:color w:val="000000"/>
                <w:w w:val="90"/>
                <w:sz w:val="20"/>
                <w:szCs w:val="20"/>
                <w:lang w:val="en-US"/>
              </w:rPr>
              <w:t>Urbanístico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D223E9" w:rsidRPr="001B7ED2" w:rsidTr="00D223E9">
        <w:trPr>
          <w:trHeight w:val="345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Número de especies compartidas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</w:tr>
      <w:tr w:rsidR="00D223E9" w:rsidRPr="001B7ED2" w:rsidTr="00D223E9">
        <w:trPr>
          <w:trHeight w:val="390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</w:rPr>
              <w:t>Número de especies total entre pares de hábitats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4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Similitud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</w:tr>
      <w:tr w:rsidR="00D223E9" w:rsidRPr="001B7ED2" w:rsidTr="00D223E9">
        <w:trPr>
          <w:trHeight w:val="301"/>
          <w:jc w:val="center"/>
        </w:trPr>
        <w:tc>
          <w:tcPr>
            <w:tcW w:w="3882" w:type="dxa"/>
            <w:shd w:val="clear" w:color="auto" w:fill="auto"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entre </w:t>
            </w: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hábitats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-</w:t>
            </w:r>
          </w:p>
        </w:tc>
      </w:tr>
      <w:tr w:rsidR="00D223E9" w:rsidRPr="001B7ED2" w:rsidTr="00D223E9">
        <w:trPr>
          <w:trHeight w:val="176"/>
          <w:jc w:val="center"/>
        </w:trPr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Únicas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2</w:t>
            </w:r>
          </w:p>
        </w:tc>
      </w:tr>
      <w:tr w:rsidR="00D223E9" w:rsidRPr="001B7ED2" w:rsidTr="00D223E9">
        <w:trPr>
          <w:trHeight w:val="185"/>
          <w:jc w:val="center"/>
        </w:trPr>
        <w:tc>
          <w:tcPr>
            <w:tcW w:w="3882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proofErr w:type="spellStart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Complementariedad</w:t>
            </w:r>
            <w:proofErr w:type="spellEnd"/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78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71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86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86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D223E9" w:rsidRPr="001B7ED2" w:rsidRDefault="00D223E9" w:rsidP="00D223E9">
            <w:pPr>
              <w:spacing w:after="0" w:line="240" w:lineRule="auto"/>
              <w:jc w:val="right"/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</w:pPr>
            <w:r w:rsidRPr="001B7ED2">
              <w:rPr>
                <w:rFonts w:ascii="Leelawadee UI" w:eastAsia="Calibri" w:hAnsi="Leelawadee UI" w:cs="Leelawadee UI"/>
                <w:bCs/>
                <w:color w:val="000000"/>
                <w:w w:val="90"/>
                <w:sz w:val="20"/>
                <w:szCs w:val="20"/>
                <w:lang w:val="en-US"/>
              </w:rPr>
              <w:t>50</w:t>
            </w:r>
          </w:p>
        </w:tc>
      </w:tr>
      <w:bookmarkEnd w:id="0"/>
    </w:tbl>
    <w:p w:rsidR="008F5C1B" w:rsidRPr="001B7ED2" w:rsidRDefault="008F5C1B" w:rsidP="008F5C1B">
      <w:pPr>
        <w:spacing w:line="240" w:lineRule="auto"/>
        <w:ind w:left="-1134" w:right="-943"/>
        <w:rPr>
          <w:rFonts w:ascii="Leelawadee UI" w:hAnsi="Leelawadee UI" w:cs="Leelawadee UI"/>
          <w:sz w:val="20"/>
          <w:szCs w:val="20"/>
        </w:rPr>
      </w:pPr>
    </w:p>
    <w:sectPr w:rsidR="008F5C1B" w:rsidRPr="001B7ED2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FF" w:rsidRDefault="00840BFF" w:rsidP="00D223E9">
      <w:pPr>
        <w:spacing w:after="0" w:line="240" w:lineRule="auto"/>
      </w:pPr>
      <w:r>
        <w:separator/>
      </w:r>
    </w:p>
  </w:endnote>
  <w:endnote w:type="continuationSeparator" w:id="0">
    <w:p w:rsidR="00840BFF" w:rsidRDefault="00840BFF" w:rsidP="00D2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E9" w:rsidRDefault="00D223E9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4E331B9" wp14:editId="1AF744ED">
          <wp:simplePos x="0" y="0"/>
          <wp:positionH relativeFrom="column">
            <wp:posOffset>6257925</wp:posOffset>
          </wp:positionH>
          <wp:positionV relativeFrom="paragraph">
            <wp:posOffset>-752475</wp:posOffset>
          </wp:positionV>
          <wp:extent cx="314325" cy="10287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7116445</wp:posOffset>
          </wp:positionH>
          <wp:positionV relativeFrom="paragraph">
            <wp:posOffset>8189595</wp:posOffset>
          </wp:positionV>
          <wp:extent cx="314325" cy="10287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FF" w:rsidRDefault="00840BFF" w:rsidP="00D223E9">
      <w:pPr>
        <w:spacing w:after="0" w:line="240" w:lineRule="auto"/>
      </w:pPr>
      <w:r>
        <w:separator/>
      </w:r>
    </w:p>
  </w:footnote>
  <w:footnote w:type="continuationSeparator" w:id="0">
    <w:p w:rsidR="00840BFF" w:rsidRDefault="00840BFF" w:rsidP="00D2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CA"/>
    <w:rsid w:val="00070D1C"/>
    <w:rsid w:val="001B1959"/>
    <w:rsid w:val="001B7ED2"/>
    <w:rsid w:val="003B47A1"/>
    <w:rsid w:val="00411922"/>
    <w:rsid w:val="00840BFF"/>
    <w:rsid w:val="008D2F06"/>
    <w:rsid w:val="008F5C1B"/>
    <w:rsid w:val="00981267"/>
    <w:rsid w:val="00AE0244"/>
    <w:rsid w:val="00C0798A"/>
    <w:rsid w:val="00CB6E19"/>
    <w:rsid w:val="00D0394D"/>
    <w:rsid w:val="00D223E9"/>
    <w:rsid w:val="00D3796D"/>
    <w:rsid w:val="00D563CA"/>
    <w:rsid w:val="00DD72AC"/>
    <w:rsid w:val="00E97EA0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20C6F"/>
  <w15:chartTrackingRefBased/>
  <w15:docId w15:val="{6A0DC6AE-844B-4A38-B8C7-53E5074E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5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5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2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3E9"/>
  </w:style>
  <w:style w:type="paragraph" w:styleId="Piedepgina">
    <w:name w:val="footer"/>
    <w:basedOn w:val="Normal"/>
    <w:link w:val="PiedepginaCar"/>
    <w:uiPriority w:val="99"/>
    <w:unhideWhenUsed/>
    <w:rsid w:val="00D22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INTROPIC</dc:creator>
  <cp:keywords/>
  <dc:description/>
  <cp:lastModifiedBy>Gabriela</cp:lastModifiedBy>
  <cp:revision>2</cp:revision>
  <dcterms:created xsi:type="dcterms:W3CDTF">2020-05-02T02:26:00Z</dcterms:created>
  <dcterms:modified xsi:type="dcterms:W3CDTF">2020-05-02T02:26:00Z</dcterms:modified>
</cp:coreProperties>
</file>